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jc w:val="center"/>
      </w:pPr>
      <w:r>
        <w:rPr>
          <w:rFonts w:ascii="Arial" w:cs="Arial" w:eastAsia="MS Mincho;Arial Unicode MS" w:hAnsi="Arial"/>
          <w:b/>
          <w:sz w:val="28"/>
        </w:rPr>
        <w:t>MANDÁTNÍ SMLOUVA O SPRÁVĚ SPOLEČNÝCH ČÁSTÍ DOMU</w:t>
      </w:r>
    </w:p>
    <w:p>
      <w:pPr>
        <w:pStyle w:val="style36"/>
        <w:jc w:val="center"/>
      </w:pPr>
      <w:r>
        <w:rPr>
          <w:rFonts w:ascii="Arial" w:cs="Arial" w:eastAsia="MS Mincho;Arial Unicode MS" w:hAnsi="Arial"/>
          <w:i/>
        </w:rPr>
        <w:t>ve smyslu § 566 a následujících obchodního zákoníku</w:t>
      </w:r>
    </w:p>
    <w:p>
      <w:pPr>
        <w:pStyle w:val="style36"/>
      </w:pPr>
      <w:r>
        <w:rPr>
          <w:rFonts w:eastAsia="MS Mincho;Arial Unicode MS"/>
        </w:rPr>
      </w:r>
    </w:p>
    <w:p>
      <w:pPr>
        <w:pStyle w:val="style36"/>
      </w:pPr>
      <w:r>
        <w:rPr>
          <w:rFonts w:ascii="Times New Roman" w:cs="Times New Roman" w:eastAsia="MS Mincho;Arial Unicode MS" w:hAnsi="Times New Roman"/>
        </w:rPr>
      </w:r>
    </w:p>
    <w:p>
      <w:pPr>
        <w:pStyle w:val="style36"/>
      </w:pPr>
      <w:r>
        <w:rPr>
          <w:rFonts w:ascii="Arial" w:cs="Arial" w:eastAsia="MS Mincho;Arial Unicode MS" w:hAnsi="Arial"/>
        </w:rPr>
        <w:t>Smluvní strany</w:t>
      </w:r>
    </w:p>
    <w:p>
      <w:pPr>
        <w:pStyle w:val="style36"/>
      </w:pPr>
      <w:r>
        <w:rPr>
          <w:rFonts w:ascii="Arial" w:cs="Arial" w:eastAsia="MS Mincho;Arial Unicode MS" w:hAnsi="Arial"/>
        </w:rPr>
      </w:r>
    </w:p>
    <w:p>
      <w:pPr>
        <w:pStyle w:val="style36"/>
      </w:pPr>
      <w:r>
        <w:rPr>
          <w:rFonts w:ascii="Arial" w:cs="Arial" w:eastAsia="MS Mincho;Arial Unicode MS" w:hAnsi="Arial"/>
        </w:rPr>
        <w:t>1.</w:t>
        <w:tab/>
        <w:t>Společenství vlastníků jednotek domů v Plzni, ………………………..</w:t>
      </w:r>
    </w:p>
    <w:p>
      <w:pPr>
        <w:pStyle w:val="style36"/>
      </w:pPr>
      <w:r>
        <w:rPr>
          <w:rFonts w:ascii="Arial" w:cs="Arial" w:eastAsia="MS Mincho;Arial Unicode MS" w:hAnsi="Arial"/>
        </w:rPr>
        <w:tab/>
        <w:t>IČ:………………………..</w:t>
      </w:r>
    </w:p>
    <w:p>
      <w:pPr>
        <w:pStyle w:val="style36"/>
      </w:pPr>
      <w:r>
        <w:rPr>
          <w:rFonts w:ascii="Arial" w:cs="Arial" w:eastAsia="MS Mincho;Arial Unicode MS" w:hAnsi="Arial"/>
        </w:rPr>
        <w:tab/>
        <w:t>se sídlem v Plzni, …………………………, PSČ 323 00</w:t>
      </w:r>
    </w:p>
    <w:p>
      <w:pPr>
        <w:pStyle w:val="style36"/>
      </w:pPr>
      <w:r>
        <w:rPr>
          <w:rFonts w:ascii="Arial" w:cs="Arial" w:eastAsia="MS Mincho;Arial Unicode MS" w:hAnsi="Arial"/>
        </w:rPr>
        <w:tab/>
        <w:t>zastoupené předsedou výboru:              …………………………  r. č. ………………….</w:t>
      </w:r>
    </w:p>
    <w:p>
      <w:pPr>
        <w:pStyle w:val="style36"/>
        <w:ind w:firstLine="1212" w:left="708" w:right="0"/>
      </w:pPr>
      <w:r>
        <w:rPr>
          <w:rFonts w:ascii="Arial" w:cs="Arial" w:eastAsia="MS Mincho;Arial Unicode MS" w:hAnsi="Arial"/>
        </w:rPr>
        <w:t xml:space="preserve">místopředsedou výboru:    …………………………  r. č. ………………….                                 </w:t>
      </w:r>
    </w:p>
    <w:p>
      <w:pPr>
        <w:pStyle w:val="style36"/>
        <w:ind w:firstLine="1212" w:left="708" w:right="0"/>
      </w:pPr>
      <w:r>
        <w:rPr>
          <w:rFonts w:ascii="Arial" w:cs="Arial" w:eastAsia="MS Mincho;Arial Unicode MS" w:hAnsi="Arial"/>
        </w:rPr>
        <w:t>a členem výboru:               …………………………  r. č. ………………….</w:t>
      </w:r>
    </w:p>
    <w:p>
      <w:pPr>
        <w:pStyle w:val="style36"/>
        <w:ind w:hanging="0" w:left="2010" w:right="0"/>
      </w:pPr>
      <w:r>
        <w:rPr>
          <w:rFonts w:ascii="Arial" w:cs="Arial" w:eastAsia="MS Mincho;Arial Unicode MS" w:hAnsi="Arial"/>
        </w:rPr>
      </w:r>
    </w:p>
    <w:p>
      <w:pPr>
        <w:pStyle w:val="style36"/>
      </w:pPr>
      <w:r>
        <w:rPr>
          <w:rFonts w:ascii="Arial" w:cs="Arial" w:eastAsia="Arial" w:hAnsi="Arial"/>
        </w:rPr>
        <w:t xml:space="preserve"> </w:t>
      </w:r>
    </w:p>
    <w:p>
      <w:pPr>
        <w:pStyle w:val="style36"/>
      </w:pPr>
      <w:r>
        <w:rPr>
          <w:rFonts w:ascii="Arial" w:cs="Arial" w:eastAsia="MS Mincho;Arial Unicode MS" w:hAnsi="Arial"/>
        </w:rPr>
        <w:tab/>
        <w:t>(dále jen "mandant")</w:t>
      </w:r>
    </w:p>
    <w:p>
      <w:pPr>
        <w:pStyle w:val="style36"/>
      </w:pPr>
      <w:r>
        <w:rPr>
          <w:rFonts w:ascii="Arial" w:cs="Arial" w:eastAsia="MS Mincho;Arial Unicode MS" w:hAnsi="Arial"/>
        </w:rPr>
      </w:r>
    </w:p>
    <w:p>
      <w:pPr>
        <w:pStyle w:val="style36"/>
      </w:pPr>
      <w:r>
        <w:rPr>
          <w:rFonts w:ascii="Arial" w:cs="Arial" w:eastAsia="MS Mincho;Arial Unicode MS" w:hAnsi="Arial"/>
        </w:rPr>
        <w:t>a</w:t>
      </w:r>
    </w:p>
    <w:p>
      <w:pPr>
        <w:pStyle w:val="style36"/>
      </w:pPr>
      <w:r>
        <w:rPr>
          <w:rFonts w:ascii="Arial" w:cs="Arial" w:eastAsia="MS Mincho;Arial Unicode MS" w:hAnsi="Arial"/>
        </w:rPr>
      </w:r>
    </w:p>
    <w:p>
      <w:pPr>
        <w:pStyle w:val="style36"/>
      </w:pPr>
      <w:r>
        <w:rPr>
          <w:rFonts w:ascii="Arial" w:cs="Arial" w:eastAsia="MS Mincho;Arial Unicode MS" w:hAnsi="Arial"/>
        </w:rPr>
        <w:t xml:space="preserve">2. </w:t>
        <w:tab/>
        <w:t>Monika Kortanová</w:t>
      </w:r>
    </w:p>
    <w:p>
      <w:pPr>
        <w:pStyle w:val="style36"/>
      </w:pPr>
      <w:r>
        <w:rPr>
          <w:rFonts w:ascii="Arial" w:cs="Arial" w:eastAsia="MS Mincho;Arial Unicode MS" w:hAnsi="Arial"/>
        </w:rPr>
        <w:tab/>
        <w:t>IČ: 670 78 702</w:t>
      </w:r>
    </w:p>
    <w:p>
      <w:pPr>
        <w:pStyle w:val="style36"/>
      </w:pPr>
      <w:r>
        <w:rPr>
          <w:rFonts w:ascii="Arial" w:cs="Arial" w:eastAsia="MS Mincho;Arial Unicode MS" w:hAnsi="Arial"/>
        </w:rPr>
        <w:tab/>
        <w:t>adresa: Slovanská tř.9, 326 00 Plzeň</w:t>
      </w:r>
    </w:p>
    <w:p>
      <w:pPr>
        <w:pStyle w:val="style36"/>
      </w:pPr>
      <w:r>
        <w:rPr>
          <w:rFonts w:ascii="Arial" w:cs="Arial" w:eastAsia="MS Mincho;Arial Unicode MS" w:hAnsi="Arial"/>
        </w:rPr>
        <w:tab/>
        <w:t>provozovna: Pod Všemi svatými 13, 301 00  Plzeň</w:t>
      </w:r>
    </w:p>
    <w:p>
      <w:pPr>
        <w:pStyle w:val="style36"/>
      </w:pPr>
      <w:r>
        <w:rPr>
          <w:rFonts w:ascii="Arial" w:cs="Arial" w:eastAsia="MS Mincho;Arial Unicode MS" w:hAnsi="Arial"/>
        </w:rPr>
      </w:r>
    </w:p>
    <w:p>
      <w:pPr>
        <w:pStyle w:val="style36"/>
      </w:pPr>
      <w:r>
        <w:rPr>
          <w:rFonts w:ascii="Arial" w:cs="Arial" w:eastAsia="MS Mincho;Arial Unicode MS" w:hAnsi="Arial"/>
        </w:rPr>
        <w:tab/>
        <w:t>(dále jen "mandatář")</w:t>
      </w:r>
    </w:p>
    <w:p>
      <w:pPr>
        <w:pStyle w:val="style36"/>
      </w:pPr>
      <w:r>
        <w:rPr>
          <w:rFonts w:ascii="Arial" w:cs="Arial" w:eastAsia="MS Mincho;Arial Unicode MS" w:hAnsi="Arial"/>
        </w:rPr>
      </w:r>
    </w:p>
    <w:p>
      <w:pPr>
        <w:pStyle w:val="style36"/>
      </w:pPr>
      <w:r>
        <w:rPr>
          <w:rFonts w:ascii="Arial" w:cs="Arial" w:eastAsia="MS Mincho;Arial Unicode MS" w:hAnsi="Arial"/>
        </w:rPr>
        <w:t>se dohodli dne …........ v …........, na následující mandátní smlouvě.</w:t>
      </w:r>
    </w:p>
    <w:p>
      <w:pPr>
        <w:pStyle w:val="style36"/>
      </w:pPr>
      <w:r>
        <w:rPr>
          <w:rFonts w:ascii="Arial" w:cs="Arial" w:eastAsia="MS Mincho;Arial Unicode MS" w:hAnsi="Arial"/>
        </w:rPr>
      </w:r>
    </w:p>
    <w:p>
      <w:pPr>
        <w:pStyle w:val="style36"/>
      </w:pPr>
      <w:r>
        <w:rPr>
          <w:rFonts w:ascii="Arial" w:cs="Arial" w:eastAsia="MS Mincho;Arial Unicode MS" w:hAnsi="Arial"/>
        </w:rPr>
      </w:r>
    </w:p>
    <w:p>
      <w:pPr>
        <w:pStyle w:val="style36"/>
      </w:pPr>
      <w:r>
        <w:rPr>
          <w:rFonts w:ascii="Arial" w:cs="Arial" w:eastAsia="MS Mincho;Arial Unicode MS" w:hAnsi="Arial"/>
        </w:rPr>
        <w:t>I.</w:t>
      </w:r>
    </w:p>
    <w:p>
      <w:pPr>
        <w:pStyle w:val="style36"/>
      </w:pPr>
      <w:r>
        <w:rPr>
          <w:rFonts w:ascii="Arial" w:cs="Arial" w:eastAsia="MS Mincho;Arial Unicode MS" w:hAnsi="Arial"/>
        </w:rPr>
      </w:r>
    </w:p>
    <w:p>
      <w:pPr>
        <w:pStyle w:val="style36"/>
        <w:jc w:val="both"/>
      </w:pPr>
      <w:r>
        <w:rPr>
          <w:rFonts w:ascii="Arial" w:cs="Arial" w:eastAsia="MS Mincho;Arial Unicode MS" w:hAnsi="Arial"/>
        </w:rPr>
        <w:t>Předmětem smlouvy je úplatné obstarávání správy nemovitostí a výkonu práv a povinností vyplývajících z právních vztahů k nemovitosti čp. …………….. v …..........,……...........……….., PSČ …... v rozsahu povinností mandatáře dle čl. V. této smlouvy, když platí, že mandant si samostatně zajišťuje veškeré ostatní činnosti, které souvisejí se správou budovy, a které nejsou smluvně zajišťovány mandatářem.</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II.</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Činnost mandatáře podle čl. I. spočívá v právních jednáních jménem mandanta a na jeho čest na základě plné moci nebo v praktických činnostech, k nimž plné moci není třeba. Mandatář je povinen neprodleně informovat mandanta a vyžádat si zvláště jeho pokyny resp. plnou moc,  jestliže je zapotřebí k zabezpečení výkonu práv a povinností mandanta. Plnou moc k zabezpečení výkonu uvedených práv a povinností může mandant udělit i bez vyžádání. Mandatář je povinen plnou moc přijmout.</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III</w:t>
      </w:r>
      <w:r>
        <w:rPr>
          <w:rFonts w:ascii="Arial" w:cs="Arial" w:eastAsia="MS Mincho;Arial Unicode MS" w:hAnsi="Arial"/>
        </w:rPr>
        <w:t>.</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Mandatář je povinen postupovat s odbornou péčí podle pokynů mandanta a v souladu s jeho zájmy, které mu jsou známy nebo mu známy být musí. V případě pochybnosti o obsahu pokynu je mandatář povinen vyžádat si stanovisko mandanta. Od jeho pokynů se může odchýlit jen tehdy, je-li to naléhavě nezbytné a v zájmu mandanta a nemůže-li včas obdržet jeho souhlas, jinak odpovídá za škodu.</w:t>
      </w:r>
    </w:p>
    <w:p>
      <w:pPr>
        <w:pStyle w:val="style36"/>
      </w:pPr>
      <w:r>
        <w:rPr>
          <w:rFonts w:ascii="Arial" w:cs="Arial" w:eastAsia="MS Mincho;Arial Unicode MS" w:hAnsi="Arial"/>
        </w:rPr>
      </w:r>
    </w:p>
    <w:p>
      <w:pPr>
        <w:pStyle w:val="style36"/>
      </w:pPr>
      <w:r>
        <w:rPr>
          <w:rFonts w:ascii="Arial" w:cs="Arial" w:eastAsia="MS Mincho;Arial Unicode MS" w:hAnsi="Arial"/>
        </w:rPr>
      </w:r>
    </w:p>
    <w:p>
      <w:pPr>
        <w:pStyle w:val="style36"/>
      </w:pPr>
      <w:r>
        <w:rPr>
          <w:rFonts w:ascii="Arial" w:cs="Arial" w:eastAsia="MS Mincho;Arial Unicode MS" w:hAnsi="Arial"/>
        </w:rPr>
        <w:t>IV.</w:t>
      </w:r>
    </w:p>
    <w:p>
      <w:pPr>
        <w:pStyle w:val="style36"/>
      </w:pPr>
      <w:r>
        <w:rPr>
          <w:rFonts w:ascii="Arial" w:cs="Arial" w:eastAsia="MS Mincho;Arial Unicode MS" w:hAnsi="Arial"/>
        </w:rPr>
      </w:r>
    </w:p>
    <w:p>
      <w:pPr>
        <w:pStyle w:val="style36"/>
        <w:jc w:val="both"/>
      </w:pPr>
      <w:r>
        <w:rPr>
          <w:rFonts w:ascii="Arial" w:cs="Arial" w:eastAsia="MS Mincho;Arial Unicode MS" w:hAnsi="Arial"/>
        </w:rPr>
        <w:t>Mandatář je povinen bez zbytečného odkladu po uzavření této smlouvy sjednat s pojišťovnou pojištění své odpovědnosti za škodu, která by mohla vzniknout mandantovi nebo třetí osobě v souvislosti s výkonem činnosti dle čl. I. této smlouvy.</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pageBreakBefore/>
        <w:jc w:val="both"/>
      </w:pPr>
      <w:r>
        <w:rPr>
          <w:rFonts w:ascii="Arial" w:cs="Arial" w:eastAsia="MS Mincho;Arial Unicode MS" w:hAnsi="Arial"/>
        </w:rPr>
        <w:t>V.</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Mandatář se zavazuje poskytnout pro mandanta následující činnosti při nichž je oprávněn jednat jménem mandanta, k čemuž mu mandant tímto uděluje plnou moc:</w:t>
      </w:r>
    </w:p>
    <w:p>
      <w:pPr>
        <w:pStyle w:val="style36"/>
        <w:jc w:val="both"/>
      </w:pPr>
      <w:r>
        <w:rPr>
          <w:rFonts w:ascii="Arial" w:cs="Arial" w:eastAsia="MS Mincho;Arial Unicode MS" w:hAnsi="Arial"/>
          <w:sz w:val="16"/>
        </w:rPr>
      </w:r>
    </w:p>
    <w:p>
      <w:pPr>
        <w:pStyle w:val="style36"/>
        <w:numPr>
          <w:ilvl w:val="0"/>
          <w:numId w:val="3"/>
        </w:numPr>
        <w:tabs>
          <w:tab w:leader="none" w:pos="840" w:val="left"/>
        </w:tabs>
        <w:jc w:val="both"/>
      </w:pPr>
      <w:r>
        <w:rPr>
          <w:rFonts w:ascii="Arial" w:cs="Arial" w:eastAsia="MS Mincho;Arial Unicode MS" w:hAnsi="Arial"/>
        </w:rPr>
        <w:t>zajistit hospodárný a bezpečný provoz společných částí budovy a pozemku včetně technických zařízení</w:t>
      </w:r>
    </w:p>
    <w:p>
      <w:pPr>
        <w:pStyle w:val="style36"/>
        <w:numPr>
          <w:ilvl w:val="0"/>
          <w:numId w:val="3"/>
        </w:numPr>
        <w:tabs>
          <w:tab w:leader="none" w:pos="840" w:val="left"/>
        </w:tabs>
        <w:jc w:val="both"/>
      </w:pPr>
      <w:r>
        <w:rPr>
          <w:rFonts w:ascii="Arial" w:cs="Arial" w:eastAsia="MS Mincho;Arial Unicode MS" w:hAnsi="Arial"/>
        </w:rPr>
        <w:t>zajistit předepsané revize všech společných technických zařízení a odstranit zjištěné závady v souladu s obecně závaznými předpisy, zejména rozvody médií, provoz výtahů, radiátorů UT, prohlídky a čistění komínů ad.</w:t>
      </w:r>
    </w:p>
    <w:p>
      <w:pPr>
        <w:pStyle w:val="style36"/>
        <w:numPr>
          <w:ilvl w:val="0"/>
          <w:numId w:val="3"/>
        </w:numPr>
        <w:tabs>
          <w:tab w:leader="none" w:pos="840" w:val="left"/>
        </w:tabs>
        <w:jc w:val="both"/>
      </w:pPr>
      <w:r>
        <w:rPr>
          <w:rFonts w:ascii="Arial" w:cs="Arial" w:eastAsia="MS Mincho;Arial Unicode MS" w:hAnsi="Arial"/>
        </w:rPr>
        <w:t>na základě požadavků mandanta zajistit provádění oprav a rekonstrukcí společných částí budovy</w:t>
      </w:r>
    </w:p>
    <w:p>
      <w:pPr>
        <w:pStyle w:val="style36"/>
        <w:numPr>
          <w:ilvl w:val="0"/>
          <w:numId w:val="3"/>
        </w:numPr>
        <w:tabs>
          <w:tab w:leader="none" w:pos="840" w:val="left"/>
        </w:tabs>
        <w:jc w:val="both"/>
      </w:pPr>
      <w:r>
        <w:rPr>
          <w:rFonts w:ascii="Arial" w:cs="Arial" w:eastAsia="MS Mincho;Arial Unicode MS" w:hAnsi="Arial"/>
        </w:rPr>
        <w:t>na základě požadavků mandanta zajistit úklid budov, chodníku a údržbu zeleně</w:t>
      </w:r>
    </w:p>
    <w:p>
      <w:pPr>
        <w:pStyle w:val="style36"/>
        <w:numPr>
          <w:ilvl w:val="0"/>
          <w:numId w:val="3"/>
        </w:numPr>
        <w:tabs>
          <w:tab w:leader="none" w:pos="840" w:val="left"/>
        </w:tabs>
        <w:jc w:val="both"/>
      </w:pPr>
      <w:r>
        <w:rPr>
          <w:rFonts w:ascii="Arial" w:cs="Arial" w:eastAsia="MS Mincho;Arial Unicode MS" w:hAnsi="Arial"/>
        </w:rPr>
        <w:t>na základě požadavků mandanta konat výběrové řízení na finančně nákladnější akce</w:t>
      </w:r>
    </w:p>
    <w:p>
      <w:pPr>
        <w:pStyle w:val="style36"/>
        <w:numPr>
          <w:ilvl w:val="0"/>
          <w:numId w:val="3"/>
        </w:numPr>
        <w:tabs>
          <w:tab w:leader="none" w:pos="840" w:val="left"/>
        </w:tabs>
        <w:jc w:val="both"/>
      </w:pPr>
      <w:r>
        <w:rPr>
          <w:rFonts w:ascii="Arial" w:cs="Arial" w:eastAsia="MS Mincho;Arial Unicode MS" w:hAnsi="Arial"/>
        </w:rPr>
        <w:t>zajistit dodávky služeb a jiných činností spojených s užíváním bytových a nebytových jednotek a společných částí budovy (tj. dodávky médií, odvoz odpadu a další vyjma těch, které si mandant zajišťuje od dodavatele přímo)</w:t>
      </w:r>
    </w:p>
    <w:p>
      <w:pPr>
        <w:pStyle w:val="style36"/>
        <w:numPr>
          <w:ilvl w:val="0"/>
          <w:numId w:val="3"/>
        </w:numPr>
        <w:tabs>
          <w:tab w:leader="none" w:pos="840" w:val="left"/>
        </w:tabs>
        <w:jc w:val="both"/>
      </w:pPr>
      <w:r>
        <w:rPr>
          <w:rFonts w:ascii="Arial" w:cs="Arial" w:eastAsia="MS Mincho;Arial Unicode MS" w:hAnsi="Arial"/>
        </w:rPr>
        <w:t>dle požadavku mandanta uzavřít pojistnou smlouvu na celý objekt</w:t>
      </w:r>
    </w:p>
    <w:p>
      <w:pPr>
        <w:pStyle w:val="style36"/>
        <w:numPr>
          <w:ilvl w:val="0"/>
          <w:numId w:val="3"/>
        </w:numPr>
        <w:tabs>
          <w:tab w:leader="none" w:pos="840" w:val="left"/>
        </w:tabs>
        <w:jc w:val="both"/>
      </w:pPr>
      <w:r>
        <w:rPr>
          <w:rFonts w:ascii="Arial" w:cs="Arial" w:eastAsia="MS Mincho;Arial Unicode MS" w:hAnsi="Arial"/>
        </w:rPr>
        <w:t>dle požadavku mandanta smluvně zajistit havarijní službu</w:t>
      </w:r>
    </w:p>
    <w:p>
      <w:pPr>
        <w:pStyle w:val="style36"/>
        <w:numPr>
          <w:ilvl w:val="0"/>
          <w:numId w:val="3"/>
        </w:numPr>
        <w:tabs>
          <w:tab w:leader="none" w:pos="840" w:val="left"/>
        </w:tabs>
        <w:jc w:val="both"/>
      </w:pPr>
      <w:r>
        <w:rPr>
          <w:rFonts w:ascii="Arial" w:cs="Arial" w:eastAsia="MS Mincho;Arial Unicode MS" w:hAnsi="Arial"/>
        </w:rPr>
        <w:t>dle požadavku mandanta vypracovat přiznání k dani z příjmů právnických osob</w:t>
      </w:r>
    </w:p>
    <w:p>
      <w:pPr>
        <w:pStyle w:val="style36"/>
        <w:numPr>
          <w:ilvl w:val="0"/>
          <w:numId w:val="3"/>
        </w:numPr>
        <w:tabs>
          <w:tab w:leader="none" w:pos="840" w:val="left"/>
        </w:tabs>
        <w:jc w:val="both"/>
      </w:pPr>
      <w:r>
        <w:rPr>
          <w:rFonts w:ascii="Arial" w:cs="Arial" w:eastAsia="MS Mincho;Arial Unicode MS" w:hAnsi="Arial"/>
        </w:rPr>
        <w:t>vést odděleným a průkazným způsobem účetnictví spojené se správou, v souladu se zákonem o účetnictví č. 563/1991 Sb. ve znění pozdějších předpisů</w:t>
      </w:r>
    </w:p>
    <w:p>
      <w:pPr>
        <w:pStyle w:val="style36"/>
        <w:numPr>
          <w:ilvl w:val="0"/>
          <w:numId w:val="3"/>
        </w:numPr>
        <w:tabs>
          <w:tab w:leader="none" w:pos="840" w:val="left"/>
        </w:tabs>
        <w:jc w:val="both"/>
      </w:pPr>
      <w:r>
        <w:rPr>
          <w:rFonts w:ascii="Arial" w:cs="Arial" w:eastAsia="MS Mincho;Arial Unicode MS" w:hAnsi="Arial"/>
        </w:rPr>
        <w:t>zajistit prostřednictvím SIPO nebo jiným způsobem od vlastníků jednotek příspěvky do fondu oprav a zálohy na úhradu za služby spojené s užíváním bytů</w:t>
      </w:r>
    </w:p>
    <w:p>
      <w:pPr>
        <w:pStyle w:val="style36"/>
        <w:numPr>
          <w:ilvl w:val="0"/>
          <w:numId w:val="3"/>
        </w:numPr>
        <w:tabs>
          <w:tab w:leader="none" w:pos="840" w:val="left"/>
        </w:tabs>
        <w:jc w:val="both"/>
      </w:pPr>
      <w:r>
        <w:rPr>
          <w:rFonts w:ascii="Arial" w:cs="Arial" w:eastAsia="MS Mincho;Arial Unicode MS" w:hAnsi="Arial"/>
        </w:rPr>
        <w:t>zajišťovat evidenci plateb do fondu oprav a na zálohy na úhradu za služby</w:t>
      </w:r>
    </w:p>
    <w:p>
      <w:pPr>
        <w:pStyle w:val="style36"/>
        <w:numPr>
          <w:ilvl w:val="0"/>
          <w:numId w:val="3"/>
        </w:numPr>
        <w:tabs>
          <w:tab w:leader="none" w:pos="840" w:val="left"/>
        </w:tabs>
        <w:jc w:val="both"/>
      </w:pPr>
      <w:r>
        <w:rPr>
          <w:rFonts w:ascii="Arial" w:cs="Arial" w:eastAsia="MS Mincho;Arial Unicode MS" w:hAnsi="Arial"/>
        </w:rPr>
        <w:t>provést vyúčtování a rozúčtování nákladů zálohových plateb do 30.4. pro jednotlivé vlastníky a zajistit vypořádání přeplatků a nedoplatků do 30.7. po skončení běžného roku</w:t>
      </w:r>
    </w:p>
    <w:p>
      <w:pPr>
        <w:pStyle w:val="style36"/>
        <w:numPr>
          <w:ilvl w:val="0"/>
          <w:numId w:val="3"/>
        </w:numPr>
        <w:tabs>
          <w:tab w:leader="none" w:pos="840" w:val="left"/>
        </w:tabs>
        <w:jc w:val="both"/>
      </w:pPr>
      <w:r>
        <w:rPr>
          <w:rFonts w:ascii="Arial" w:cs="Arial" w:eastAsia="MS Mincho;Arial Unicode MS" w:hAnsi="Arial"/>
        </w:rPr>
        <w:t>vést evidenci a kontrolu plateb nákladů vzniklých při správě budovy</w:t>
      </w:r>
    </w:p>
    <w:p>
      <w:pPr>
        <w:pStyle w:val="style36"/>
        <w:numPr>
          <w:ilvl w:val="0"/>
          <w:numId w:val="3"/>
        </w:numPr>
        <w:tabs>
          <w:tab w:leader="none" w:pos="840" w:val="left"/>
        </w:tabs>
        <w:jc w:val="both"/>
      </w:pPr>
      <w:r>
        <w:rPr>
          <w:rFonts w:ascii="Arial" w:cs="Arial" w:eastAsia="MS Mincho;Arial Unicode MS" w:hAnsi="Arial"/>
        </w:rPr>
        <w:t>zajistit proplacení faktur od dodavatelů v termínu splatnosti – k tomuto je zapotřebí součinnosti členů výboru, kteří budou příkazy k úhradě podepisovat (budou vyžadovány dva podpisy, přičemž jedním může být podpis mandatáře)</w:t>
      </w:r>
    </w:p>
    <w:p>
      <w:pPr>
        <w:pStyle w:val="style36"/>
        <w:numPr>
          <w:ilvl w:val="0"/>
          <w:numId w:val="3"/>
        </w:numPr>
        <w:tabs>
          <w:tab w:leader="none" w:pos="840" w:val="left"/>
        </w:tabs>
        <w:jc w:val="both"/>
      </w:pPr>
      <w:r>
        <w:rPr>
          <w:rFonts w:ascii="Arial" w:cs="Arial" w:eastAsia="MS Mincho;Arial Unicode MS" w:hAnsi="Arial"/>
        </w:rPr>
        <w:t>dle pokynu mandanta podat zprávu o obstarání záležitosti a stavu jeho majetku a to nejpozději do deseti dnů od vyžádání, není-li dohodnuto jinak</w:t>
      </w:r>
    </w:p>
    <w:p>
      <w:pPr>
        <w:pStyle w:val="style36"/>
        <w:numPr>
          <w:ilvl w:val="0"/>
          <w:numId w:val="3"/>
        </w:numPr>
        <w:tabs>
          <w:tab w:leader="none" w:pos="840" w:val="left"/>
        </w:tabs>
        <w:jc w:val="both"/>
      </w:pPr>
      <w:r>
        <w:rPr>
          <w:rFonts w:ascii="Arial" w:cs="Arial" w:eastAsia="MS Mincho;Arial Unicode MS" w:hAnsi="Arial"/>
        </w:rPr>
        <w:t>je povinen předložit vyúčtování mandantovi kdykoliv na jeho vyžádání a předat účetní doklady mandantovi, který má právo kdykoliv do nich nahlížet</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VI.</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Mandant se zavazuje, že:</w:t>
      </w:r>
    </w:p>
    <w:p>
      <w:pPr>
        <w:pStyle w:val="style36"/>
        <w:jc w:val="both"/>
      </w:pPr>
      <w:r>
        <w:rPr>
          <w:rFonts w:ascii="Arial" w:cs="Arial" w:eastAsia="MS Mincho;Arial Unicode MS" w:hAnsi="Arial"/>
        </w:rPr>
      </w:r>
    </w:p>
    <w:p>
      <w:pPr>
        <w:pStyle w:val="style36"/>
        <w:numPr>
          <w:ilvl w:val="0"/>
          <w:numId w:val="1"/>
        </w:numPr>
        <w:tabs>
          <w:tab w:leader="none" w:pos="840" w:val="left"/>
        </w:tabs>
        <w:jc w:val="both"/>
      </w:pPr>
      <w:r>
        <w:rPr>
          <w:rFonts w:ascii="Arial" w:cs="Arial" w:eastAsia="MS Mincho;Arial Unicode MS" w:hAnsi="Arial"/>
        </w:rPr>
        <w:t>zřídí, pokud jej již nemá, za účelem financování správy, údržby a oprav podle této smlouvy účet u peněžního ústavu. Mandatář nebude mít dispoziční právo nakládat s těmito finančními prostředky.</w:t>
      </w:r>
    </w:p>
    <w:p>
      <w:pPr>
        <w:pStyle w:val="style36"/>
        <w:numPr>
          <w:ilvl w:val="0"/>
          <w:numId w:val="1"/>
        </w:numPr>
        <w:tabs>
          <w:tab w:leader="none" w:pos="840" w:val="left"/>
        </w:tabs>
        <w:jc w:val="both"/>
      </w:pPr>
      <w:r>
        <w:rPr>
          <w:rFonts w:ascii="Arial" w:cs="Arial" w:eastAsia="MS Mincho;Arial Unicode MS" w:hAnsi="Arial"/>
        </w:rPr>
        <w:t>bude na svůj účet zálohově přispívat do fondu oprav a na úhradu za služby a mandatáři vyplácet jeho měsíční odměnu za správu</w:t>
      </w:r>
    </w:p>
    <w:p>
      <w:pPr>
        <w:pStyle w:val="style36"/>
        <w:numPr>
          <w:ilvl w:val="0"/>
          <w:numId w:val="1"/>
        </w:numPr>
        <w:tabs>
          <w:tab w:leader="none" w:pos="840" w:val="left"/>
        </w:tabs>
        <w:jc w:val="both"/>
      </w:pPr>
      <w:r>
        <w:rPr>
          <w:rFonts w:ascii="Arial" w:cs="Arial" w:eastAsia="MS Mincho;Arial Unicode MS" w:hAnsi="Arial"/>
        </w:rPr>
        <w:t>v případě, že skutečné náklady na správu, opravy a údržbu budovy budou větší než dosud zaplacené zálohy složí na svůj účet potřebnou částku a přiměřeně upraví velikost svých záloh</w:t>
      </w:r>
    </w:p>
    <w:p>
      <w:pPr>
        <w:pStyle w:val="style36"/>
        <w:numPr>
          <w:ilvl w:val="0"/>
          <w:numId w:val="1"/>
        </w:numPr>
        <w:tabs>
          <w:tab w:leader="none" w:pos="840" w:val="left"/>
        </w:tabs>
        <w:jc w:val="both"/>
      </w:pPr>
      <w:r>
        <w:rPr>
          <w:rFonts w:ascii="Arial" w:cs="Arial" w:eastAsia="MS Mincho;Arial Unicode MS" w:hAnsi="Arial"/>
        </w:rPr>
        <w:t>v případě, že některý z jednotlivých vlastníků jednotek dluží na zálohách a ohrozilo by to platební schopnost mandanta, složí ostatní vlastníci jednotek zálohu na pokrytí těchto dluhů</w:t>
      </w:r>
    </w:p>
    <w:p>
      <w:pPr>
        <w:pStyle w:val="style36"/>
        <w:numPr>
          <w:ilvl w:val="0"/>
          <w:numId w:val="1"/>
        </w:numPr>
        <w:tabs>
          <w:tab w:leader="none" w:pos="840" w:val="left"/>
        </w:tabs>
        <w:jc w:val="both"/>
      </w:pPr>
      <w:r>
        <w:rPr>
          <w:rFonts w:ascii="Arial" w:cs="Arial" w:eastAsia="MS Mincho;Arial Unicode MS" w:hAnsi="Arial"/>
        </w:rPr>
        <w:t>bude bez zbytečného odkladu oznamovat mandatáři všechny důležité skutečnosti rozhodné pro správu domu (např. potřebu oprav, údaje o počtu osob v bytové jednotce, změny ve vlastnictví jednotek, změny ve složení výboru apod.)</w:t>
      </w:r>
    </w:p>
    <w:p>
      <w:pPr>
        <w:pStyle w:val="style36"/>
        <w:numPr>
          <w:ilvl w:val="0"/>
          <w:numId w:val="1"/>
        </w:numPr>
        <w:tabs>
          <w:tab w:leader="none" w:pos="840" w:val="left"/>
        </w:tabs>
        <w:jc w:val="both"/>
      </w:pPr>
      <w:r>
        <w:rPr>
          <w:rFonts w:ascii="Arial" w:cs="Arial" w:eastAsia="MS Mincho;Arial Unicode MS" w:hAnsi="Arial"/>
        </w:rPr>
        <w:t>bude neprodleně předávat mandatáři všechny důležité doklady vztahující se ke správě budovy (zejména daňové a účetní)</w:t>
      </w:r>
    </w:p>
    <w:p>
      <w:pPr>
        <w:pStyle w:val="style36"/>
        <w:numPr>
          <w:ilvl w:val="0"/>
          <w:numId w:val="1"/>
        </w:numPr>
        <w:tabs>
          <w:tab w:leader="none" w:pos="840" w:val="left"/>
        </w:tabs>
        <w:jc w:val="both"/>
      </w:pPr>
      <w:r>
        <w:rPr>
          <w:rFonts w:ascii="Arial" w:cs="Arial" w:eastAsia="MS Mincho;Arial Unicode MS" w:hAnsi="Arial"/>
        </w:rPr>
        <w:t>pokud je to nezbytné k provedení oprav nebo úprav umožní přístup do všech jednotek v budově</w:t>
      </w:r>
    </w:p>
    <w:p>
      <w:pPr>
        <w:pStyle w:val="style36"/>
        <w:numPr>
          <w:ilvl w:val="0"/>
          <w:numId w:val="1"/>
        </w:numPr>
        <w:tabs>
          <w:tab w:leader="none" w:pos="840" w:val="left"/>
        </w:tabs>
        <w:jc w:val="both"/>
      </w:pPr>
      <w:r>
        <w:rPr>
          <w:rFonts w:ascii="Arial" w:cs="Arial" w:eastAsia="MS Mincho;Arial Unicode MS" w:hAnsi="Arial"/>
        </w:rPr>
        <w:t>poskytne mandatáři potřebnou součinnost, nezbytnou pro řádný výkon činností stanovených touto smlouvou.</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VII.</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Mandant se zavazuje, že mandatáři zaplatí za řádné plnění povinností stanovených v této smlouvě paušální odměnu ve výši 105,- Kč (slovy: Jednostopětkorunčeských) za každou jednotku měsíčně. Tato částka je konečná, mandatář není plátcem DPH. V této odměně není zahrnuta odměna za speciální služby (např. provádění výběrových řízení dle zák. č. 199/94 Sb. za účelem žádosti o státní dotace, správa úvěrového účtu, dovoz a odvoz materiálů, různé drobné tiskové a rozesílací práce [kromě rozeslání vyúčtování a pozvánek na shromáždění vlastníků, upomínek], atd.), které si mandant vyžádá nad rámec této smlouvy. Měsíční odměny jsou splatné vždy k poslednímu dni v měsíci. Mandatář je po dohodě s mandantem oprávněn provést vždy jedenkrát ročně zvýšení odměny o roční míru inflace zveřejněnou Českým statistickým úřadem. Nová výše odměny je závazná od počátku měsíce, v kterém bylo zvýšení mandatářem oznámeno.</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VIII.</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 xml:space="preserve">V případě porušení povinností daných touto smlouvou jednou ze smluvních stran, může druhá smluvní strana uplatňovat nároky na náhradu škody. Při zpoždění platby odměny mandatáři má ten právo účtovat mandantovi smluvní pokutu ve výši 1% (jedno procento) z dlužné částky za každý den prodlení. </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IX.</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Obě strany se zavazují, že veškeré případné spory, do nichž se při plnění této smlouvy dostanou, budou řešeny v prvé řadě dohodou. Nedojde-li k dohodě platí, že případné spory budou rozhodovány řádnými soudy, pokud by strany neuzavřely pro případ určitého sporu rozhodčí smlouvu.</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X.</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 xml:space="preserve">Tato smlouva nabývá platnosti dnem jejího podpisu oběma stranami a účinnosti dnem po skončení správy bývalého správce, tj. </w:t>
      </w:r>
      <w:r>
        <w:rPr>
          <w:rFonts w:ascii="Arial" w:cs="Arial" w:eastAsia="MS Mincho;Arial Unicode MS" w:hAnsi="Arial"/>
        </w:rPr>
        <w:t>k</w:t>
      </w:r>
      <w:r>
        <w:rPr>
          <w:rFonts w:ascii="Arial" w:cs="Arial" w:eastAsia="MS Mincho;Arial Unicode MS" w:hAnsi="Arial"/>
        </w:rPr>
        <w:t> …....…. Tato smlouva byla vyhotovena ve 2 výtiscích, z nichž obdrží každá strana po jednom vyhotovení. K platnosti změny této smlouvy je zapotřebí souhlasu obou smluvních stran a dodržení písemné formy. Pokud smlouva neobsahuje odchylnou úpravu, řídí se smluvní vztahy smluvních stran příslušnými ustanoveními obchodního zákoníku, zejména ustanoveními § 566 a násl.</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XI.</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Tato smlouva se uzavírá na dobu neurčitou. Obě strany jsou oprávněny smlouvu vypovědět, a to vždy k 31. 12. běžného roku písemnou výpovědí, doručenou druhé straně nejpozději do 10. 6. běžného roku. Vypovědět smlouvu nelze v roce uzavření smlouvy. Mandatář pak do 30 dní od ukončení platnosti této smlouvy provede veškeré zúčtování dokladů a dokumentace a předá mandantovi veškerou agendu.</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 xml:space="preserve">XII. </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Přílohy:</w:t>
      </w:r>
    </w:p>
    <w:p>
      <w:pPr>
        <w:pStyle w:val="style36"/>
        <w:numPr>
          <w:ilvl w:val="0"/>
          <w:numId w:val="2"/>
        </w:numPr>
        <w:tabs>
          <w:tab w:leader="none" w:pos="720" w:val="left"/>
        </w:tabs>
        <w:jc w:val="both"/>
      </w:pPr>
      <w:r>
        <w:rPr>
          <w:rFonts w:ascii="Arial" w:cs="Arial" w:eastAsia="MS Mincho;Arial Unicode MS" w:hAnsi="Arial"/>
        </w:rPr>
        <w:t>živnostenský list mandatáře</w:t>
      </w:r>
    </w:p>
    <w:p>
      <w:pPr>
        <w:pStyle w:val="style36"/>
        <w:numPr>
          <w:ilvl w:val="0"/>
          <w:numId w:val="2"/>
        </w:numPr>
        <w:tabs>
          <w:tab w:leader="none" w:pos="720" w:val="left"/>
        </w:tabs>
        <w:jc w:val="both"/>
      </w:pPr>
      <w:r>
        <w:rPr>
          <w:rFonts w:ascii="Arial" w:cs="Arial" w:eastAsia="MS Mincho;Arial Unicode MS" w:hAnsi="Arial"/>
        </w:rPr>
        <w:t>výpis z obchodního rejstříku mandanta</w:t>
      </w:r>
    </w:p>
    <w:p>
      <w:pPr>
        <w:pStyle w:val="style36"/>
        <w:numPr>
          <w:ilvl w:val="0"/>
          <w:numId w:val="2"/>
        </w:numPr>
        <w:tabs>
          <w:tab w:leader="none" w:pos="720" w:val="left"/>
        </w:tabs>
        <w:jc w:val="both"/>
      </w:pPr>
      <w:r>
        <w:rPr>
          <w:rFonts w:ascii="Arial" w:cs="Arial" w:eastAsia="MS Mincho;Arial Unicode MS" w:hAnsi="Arial"/>
        </w:rPr>
        <w:t>prohlášení vlastníka</w:t>
      </w:r>
    </w:p>
    <w:p>
      <w:pPr>
        <w:pStyle w:val="style36"/>
        <w:numPr>
          <w:ilvl w:val="0"/>
          <w:numId w:val="2"/>
        </w:numPr>
        <w:tabs>
          <w:tab w:leader="none" w:pos="720" w:val="left"/>
        </w:tabs>
        <w:jc w:val="both"/>
      </w:pPr>
      <w:r>
        <w:rPr>
          <w:rFonts w:ascii="Arial" w:cs="Arial" w:eastAsia="MS Mincho;Arial Unicode MS" w:hAnsi="Arial"/>
        </w:rPr>
        <w:t>seznam jednotek</w:t>
      </w:r>
    </w:p>
    <w:p>
      <w:pPr>
        <w:pStyle w:val="style36"/>
        <w:numPr>
          <w:ilvl w:val="0"/>
          <w:numId w:val="2"/>
        </w:numPr>
        <w:tabs>
          <w:tab w:leader="none" w:pos="720" w:val="left"/>
        </w:tabs>
        <w:jc w:val="both"/>
      </w:pPr>
      <w:r>
        <w:rPr>
          <w:rFonts w:ascii="Arial" w:cs="Arial" w:eastAsia="MS Mincho;Arial Unicode MS" w:hAnsi="Arial"/>
        </w:rPr>
        <w:t>stanovy společenství</w:t>
      </w:r>
    </w:p>
    <w:p>
      <w:pPr>
        <w:pStyle w:val="style36"/>
        <w:numPr>
          <w:ilvl w:val="0"/>
          <w:numId w:val="2"/>
        </w:numPr>
        <w:tabs>
          <w:tab w:leader="none" w:pos="720" w:val="left"/>
        </w:tabs>
        <w:jc w:val="both"/>
      </w:pPr>
      <w:r>
        <w:rPr>
          <w:rFonts w:ascii="Arial" w:cs="Arial" w:eastAsia="MS Mincho;Arial Unicode MS" w:hAnsi="Arial"/>
        </w:rPr>
        <w:t>seznam společných částí domu</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t>V …........... dne …………………………...</w:t>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MS Mincho;Arial Unicode MS" w:hAnsi="Arial"/>
        </w:rPr>
      </w:r>
    </w:p>
    <w:p>
      <w:pPr>
        <w:pStyle w:val="style36"/>
        <w:jc w:val="both"/>
      </w:pPr>
      <w:r>
        <w:rPr>
          <w:rFonts w:ascii="Arial" w:cs="Arial" w:eastAsia="Arial" w:hAnsi="Arial"/>
        </w:rPr>
        <w:t xml:space="preserve">    </w:t>
      </w:r>
      <w:r>
        <w:rPr>
          <w:rFonts w:ascii="Arial" w:cs="Arial" w:eastAsia="MS Mincho;Arial Unicode MS" w:hAnsi="Arial"/>
        </w:rPr>
        <w:t>Monika Kortanová                                                             členové výboru</w:t>
      </w:r>
    </w:p>
    <w:p>
      <w:pPr>
        <w:pStyle w:val="style36"/>
        <w:jc w:val="both"/>
      </w:pPr>
      <w:r>
        <w:rPr>
          <w:rFonts w:ascii="Arial" w:cs="Arial" w:eastAsia="MS Mincho;Arial Unicode MS" w:hAnsi="Arial"/>
        </w:rPr>
      </w:r>
    </w:p>
    <w:p>
      <w:pPr>
        <w:pStyle w:val="style36"/>
        <w:jc w:val="both"/>
      </w:pPr>
      <w:r>
        <w:rPr/>
      </w:r>
    </w:p>
    <w:p>
      <w:pPr>
        <w:pStyle w:val="style36"/>
        <w:jc w:val="both"/>
      </w:pPr>
      <w:r>
        <w:rPr>
          <w:rFonts w:ascii="Arial" w:cs="Arial" w:eastAsia="MS Mincho;Arial Unicode MS" w:hAnsi="Arial"/>
        </w:rPr>
        <w:t>..................................</w:t>
        <w:tab/>
        <w:tab/>
        <w:t xml:space="preserve">                               </w:t>
      </w:r>
      <w:r>
        <w:rPr>
          <w:rFonts w:ascii="Arial" w:cs="Arial" w:eastAsia="Arial" w:hAnsi="Arial"/>
        </w:rPr>
        <w:t>………</w:t>
      </w:r>
      <w:r>
        <w:rPr>
          <w:rFonts w:ascii="Arial" w:cs="Arial" w:eastAsia="MS Mincho;Arial Unicode MS" w:hAnsi="Arial"/>
        </w:rPr>
        <w:t>..………………………...........................................</w:t>
      </w:r>
    </w:p>
    <w:p>
      <w:pPr>
        <w:pStyle w:val="style36"/>
        <w:jc w:val="both"/>
      </w:pPr>
      <w:r>
        <w:rPr>
          <w:rFonts w:ascii="Arial" w:cs="Arial" w:eastAsia="Arial" w:hAnsi="Arial"/>
        </w:rPr>
        <w:t xml:space="preserve">         </w:t>
      </w:r>
      <w:r>
        <w:rPr>
          <w:rFonts w:ascii="Arial" w:cs="Arial" w:eastAsia="MS Mincho;Arial Unicode MS" w:hAnsi="Arial"/>
        </w:rPr>
        <w:t xml:space="preserve">mandatář </w:t>
        <w:tab/>
        <w:tab/>
        <w:tab/>
        <w:tab/>
        <w:tab/>
        <w:t xml:space="preserve">               mandant</w:t>
      </w:r>
    </w:p>
    <w:sectPr>
      <w:footerReference r:id="rId2" w:type="default"/>
      <w:type w:val="nextPage"/>
      <w:pgSz w:h="16838" w:w="11906"/>
      <w:pgMar w:bottom="1361" w:footer="907" w:gutter="0" w:header="0" w:left="964" w:right="96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swiss"/>
    <w:pitch w:val="variable"/>
  </w:font>
  <w:font w:name="Courier New">
    <w:charset w:val="ee"/>
    <w:family w:val="modern"/>
    <w:pitch w:val="default"/>
  </w:font>
  <w:font w:name="Tahoma">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sz w:val="18"/>
      </w:rPr>
      <w:t>Znění ověřili:</w:t>
      <w:tab/>
      <w:t xml:space="preserve">                                                                                                                                Strana   - </w:t>
    </w:r>
    <w:r>
      <w:rPr>
        <w:sz w:val="18"/>
      </w:rPr>
      <w:fldChar w:fldCharType="begin"/>
    </w:r>
    <w:r>
      <w:instrText> PAGE </w:instrText>
    </w:r>
    <w:r>
      <w:fldChar w:fldCharType="separate"/>
    </w:r>
    <w:r>
      <w:t>3</w:t>
    </w:r>
    <w:r>
      <w:fldChar w:fldCharType="end"/>
    </w:r>
    <w:r>
      <w:rPr>
        <w:sz w:val="18"/>
      </w:rPr>
      <w:t xml:space="preserve"> -   (celkem  3)</w:t>
    </w:r>
  </w:p>
  <w:p>
    <w:pPr>
      <w:pStyle w:val="style37"/>
    </w:pPr>
    <w:r>
      <w:rPr>
        <w:sz w:val="18"/>
      </w:rPr>
    </w:r>
  </w:p>
</w:ftr>
</file>

<file path=word/numbering.xml><?xml version="1.0" encoding="utf-8"?>
<w:numbering xmlns:w="http://schemas.openxmlformats.org/wordprocessingml/2006/main">
  <w:abstractNum w:abstractNumId="1">
    <w:lvl w:ilvl="0">
      <w:start w:val="1"/>
      <w:numFmt w:val="lowerLetter"/>
      <w:lvlText w:val="%1)"/>
      <w:lvlJc w:val="left"/>
      <w:pPr>
        <w:tabs>
          <w:tab w:pos="840" w:val="num"/>
        </w:tabs>
        <w:ind w:hanging="480" w:left="840"/>
      </w:pPr>
      <w:rPr/>
    </w:lvl>
  </w:abstractNum>
  <w:abstractNum w:abstractNumId="2">
    <w:lvl w:ilvl="0">
      <w:start w:val="1"/>
      <w:numFmt w:val="lowerLetter"/>
      <w:lvlText w:val="%1)"/>
      <w:lvlJc w:val="left"/>
      <w:pPr>
        <w:tabs>
          <w:tab w:pos="720" w:val="num"/>
        </w:tabs>
        <w:ind w:hanging="360" w:left="720"/>
      </w:pPr>
      <w:rPr/>
    </w:lvl>
  </w:abstractNum>
  <w:abstractNum w:abstractNumId="3">
    <w:lvl w:ilvl="0">
      <w:start w:val="1"/>
      <w:numFmt w:val="lowerLetter"/>
      <w:lvlText w:val="%1)"/>
      <w:lvlJc w:val="left"/>
      <w:pPr>
        <w:tabs>
          <w:tab w:pos="840" w:val="num"/>
        </w:tabs>
        <w:ind w:hanging="480" w:left="840"/>
      </w:pPr>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Výchozí styl"/>
    <w:next w:val="style0"/>
    <w:pPr>
      <w:widowControl/>
      <w:suppressAutoHyphens w:val="true"/>
      <w:jc w:val="left"/>
    </w:pPr>
    <w:rPr>
      <w:rFonts w:ascii="Times New Roman" w:cs="Times New Roman" w:eastAsia="Times New Roman" w:hAnsi="Times New Roman"/>
      <w:color w:val="auto"/>
      <w:sz w:val="24"/>
      <w:szCs w:val="24"/>
      <w:lang w:bidi="ar-SA" w:eastAsia="zh-CN" w:val="cs-CZ"/>
    </w:rPr>
  </w:style>
  <w:style w:styleId="style15" w:type="character">
    <w:name w:val="WW8Num1zfalse"/>
    <w:next w:val="style15"/>
    <w:rPr/>
  </w:style>
  <w:style w:styleId="style16" w:type="character">
    <w:name w:val="WW8Num2zfalse"/>
    <w:next w:val="style16"/>
    <w:rPr/>
  </w:style>
  <w:style w:styleId="style17" w:type="character">
    <w:name w:val="WW8Num3zfalse"/>
    <w:next w:val="style17"/>
    <w:rPr>
      <w:rFonts w:ascii="Arial" w:cs="Arial" w:eastAsia="MS Mincho;Arial Unicode MS" w:hAnsi="Arial"/>
    </w:rPr>
  </w:style>
  <w:style w:styleId="style18" w:type="character">
    <w:name w:val="WW8Num4zfalse"/>
    <w:next w:val="style18"/>
    <w:rPr/>
  </w:style>
  <w:style w:styleId="style19" w:type="character">
    <w:name w:val="WW8Num4ztrue"/>
    <w:next w:val="style19"/>
    <w:rPr/>
  </w:style>
  <w:style w:styleId="style20" w:type="character">
    <w:name w:val="WW8Num4ztrue"/>
    <w:next w:val="style20"/>
    <w:rPr/>
  </w:style>
  <w:style w:styleId="style21" w:type="character">
    <w:name w:val="WW8Num4ztrue"/>
    <w:next w:val="style21"/>
    <w:rPr/>
  </w:style>
  <w:style w:styleId="style22" w:type="character">
    <w:name w:val="WW8Num4ztrue"/>
    <w:next w:val="style22"/>
    <w:rPr/>
  </w:style>
  <w:style w:styleId="style23" w:type="character">
    <w:name w:val="WW8Num4ztrue"/>
    <w:next w:val="style23"/>
    <w:rPr/>
  </w:style>
  <w:style w:styleId="style24" w:type="character">
    <w:name w:val="WW8Num4ztrue"/>
    <w:next w:val="style24"/>
    <w:rPr/>
  </w:style>
  <w:style w:styleId="style25" w:type="character">
    <w:name w:val="WW8Num4ztrue"/>
    <w:next w:val="style25"/>
    <w:rPr/>
  </w:style>
  <w:style w:styleId="style26" w:type="character">
    <w:name w:val="WW8Num4ztrue"/>
    <w:next w:val="style26"/>
    <w:rPr/>
  </w:style>
  <w:style w:styleId="style27" w:type="character">
    <w:name w:val="Standardní písmo odstavce"/>
    <w:next w:val="style27"/>
    <w:rPr/>
  </w:style>
  <w:style w:styleId="style28" w:type="character">
    <w:name w:val="Absatz-Standardschriftart"/>
    <w:next w:val="style28"/>
    <w:rPr/>
  </w:style>
  <w:style w:styleId="style29" w:type="character">
    <w:name w:val="Standardní písmo odstavce1"/>
    <w:next w:val="style29"/>
    <w:rPr/>
  </w:style>
  <w:style w:styleId="style30" w:type="character">
    <w:name w:val="Číslo stránky"/>
    <w:basedOn w:val="style29"/>
    <w:next w:val="style30"/>
    <w:rPr/>
  </w:style>
  <w:style w:styleId="style31" w:type="paragraph">
    <w:name w:val="Nadpis"/>
    <w:basedOn w:val="style0"/>
    <w:next w:val="style32"/>
    <w:pPr>
      <w:keepNext/>
      <w:spacing w:after="120" w:before="240"/>
      <w:contextualSpacing w:val="false"/>
    </w:pPr>
    <w:rPr>
      <w:rFonts w:ascii="Arial" w:cs="Tahoma" w:eastAsia="MS Mincho;Arial Unicode MS" w:hAnsi="Arial"/>
      <w:sz w:val="28"/>
      <w:szCs w:val="28"/>
    </w:rPr>
  </w:style>
  <w:style w:styleId="style32" w:type="paragraph">
    <w:name w:val="Tělo textu"/>
    <w:basedOn w:val="style0"/>
    <w:next w:val="style32"/>
    <w:pPr>
      <w:spacing w:after="120" w:before="0"/>
      <w:contextualSpacing w:val="false"/>
    </w:pPr>
    <w:rPr/>
  </w:style>
  <w:style w:styleId="style33" w:type="paragraph">
    <w:name w:val="Seznam"/>
    <w:basedOn w:val="style32"/>
    <w:next w:val="style33"/>
    <w:pPr/>
    <w:rPr>
      <w:rFonts w:cs="Tahoma"/>
    </w:rPr>
  </w:style>
  <w:style w:styleId="style34" w:type="paragraph">
    <w:name w:val="Popisek"/>
    <w:basedOn w:val="style0"/>
    <w:next w:val="style34"/>
    <w:pPr>
      <w:suppressLineNumbers/>
      <w:spacing w:after="120" w:before="120"/>
      <w:contextualSpacing w:val="false"/>
    </w:pPr>
    <w:rPr>
      <w:rFonts w:cs="Tahoma"/>
      <w:i/>
      <w:iCs/>
      <w:sz w:val="24"/>
      <w:szCs w:val="24"/>
    </w:rPr>
  </w:style>
  <w:style w:styleId="style35" w:type="paragraph">
    <w:name w:val="Rejstřík"/>
    <w:basedOn w:val="style0"/>
    <w:next w:val="style35"/>
    <w:pPr>
      <w:suppressLineNumbers/>
    </w:pPr>
    <w:rPr>
      <w:rFonts w:cs="Tahoma"/>
    </w:rPr>
  </w:style>
  <w:style w:styleId="style36" w:type="paragraph">
    <w:name w:val="Prostý text1"/>
    <w:basedOn w:val="style0"/>
    <w:next w:val="style36"/>
    <w:pPr/>
    <w:rPr>
      <w:rFonts w:ascii="Courier New" w:cs="Courier New" w:hAnsi="Courier New"/>
      <w:sz w:val="20"/>
      <w:szCs w:val="20"/>
    </w:rPr>
  </w:style>
  <w:style w:styleId="style37" w:type="paragraph">
    <w:name w:val="Zápatí"/>
    <w:basedOn w:val="style0"/>
    <w:next w:val="style37"/>
    <w:pPr>
      <w:tabs>
        <w:tab w:leader="none" w:pos="4536" w:val="center"/>
        <w:tab w:leader="none" w:pos="9072" w:val="right"/>
      </w:tabs>
    </w:pPr>
    <w:rPr/>
  </w:style>
  <w:style w:styleId="style38" w:type="paragraph">
    <w:name w:val="Záhlaví"/>
    <w:basedOn w:val="style0"/>
    <w:next w:val="style38"/>
    <w:pPr>
      <w:tabs>
        <w:tab w:leader="none" w:pos="4536" w:val="center"/>
        <w:tab w:leader="none" w:pos="9072" w:val="right"/>
      </w:tabs>
    </w:pPr>
    <w:rPr/>
  </w:style>
  <w:style w:styleId="style39" w:type="paragraph">
    <w:name w:val="Rozvržení dokumentu"/>
    <w:basedOn w:val="style0"/>
    <w:next w:val="style39"/>
    <w:pPr>
      <w:shd w:fill="000080" w:val="clear"/>
    </w:pPr>
    <w:rPr>
      <w:rFonts w:ascii="Tahoma" w:cs="Tahoma" w:hAnsi="Tahom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1620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2010-10-13T10:33:00.00Z</dcterms:created>
  <dc:creator>l</dc:creator>
  <cp:lastModifiedBy>Monika</cp:lastModifiedBy>
  <cp:lastPrinted>2008-11-10T14:00:00.00Z</cp:lastPrinted>
  <dcterms:modified xsi:type="dcterms:W3CDTF">2013-05-09T11:12:00.00Z</dcterms:modified>
  <cp:revision>5</cp:revision>
  <dc:title>SMLOUVA O OBSTARÁNÍ SPRÁVY</dc:title>
</cp:coreProperties>
</file>